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56A2D51B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</w:t>
      </w:r>
      <w:r w:rsidR="0052251C">
        <w:rPr>
          <w:rFonts w:ascii="Century Gothic" w:hAnsi="Century Gothic"/>
          <w:spacing w:val="-6"/>
        </w:rPr>
        <w:t>–</w:t>
      </w:r>
      <w:r>
        <w:rPr>
          <w:rFonts w:ascii="Century Gothic" w:hAnsi="Century Gothic"/>
          <w:spacing w:val="-6"/>
        </w:rPr>
        <w:t xml:space="preserve"> </w:t>
      </w:r>
      <w:r w:rsidR="0052251C">
        <w:rPr>
          <w:rFonts w:ascii="Century Gothic" w:hAnsi="Century Gothic"/>
          <w:spacing w:val="-6"/>
        </w:rPr>
        <w:t>Chargé.e de mission vie étudiante – Intégration des étudiant.es</w:t>
      </w:r>
    </w:p>
    <w:p w14:paraId="08E1BECF" w14:textId="77777777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>Institut d’Optique Graduate School (IOGS) – Palaiseau</w:t>
      </w:r>
    </w:p>
    <w:p w14:paraId="5761B023" w14:textId="35055572" w:rsidR="00326247" w:rsidRPr="008C1189" w:rsidRDefault="00326247" w:rsidP="00326247">
      <w:pPr>
        <w:spacing w:before="2"/>
        <w:rPr>
          <w:rFonts w:ascii="Century Gothic" w:hAnsi="Century Gothic"/>
        </w:rPr>
      </w:pPr>
      <w:r w:rsidRPr="00326247">
        <w:rPr>
          <w:rFonts w:ascii="Century Gothic" w:hAnsi="Century Gothic"/>
          <w:b/>
          <w:spacing w:val="-6"/>
        </w:rPr>
        <w:t>Contrat :</w:t>
      </w:r>
      <w:r w:rsidRPr="008C1189">
        <w:rPr>
          <w:rFonts w:ascii="Century Gothic" w:hAnsi="Century Gothic"/>
          <w:b/>
          <w:spacing w:val="8"/>
        </w:rPr>
        <w:t xml:space="preserve"> </w:t>
      </w:r>
      <w:r>
        <w:rPr>
          <w:rFonts w:ascii="Century Gothic" w:hAnsi="Century Gothic"/>
        </w:rPr>
        <w:t>CDI de mission, 4 ans</w:t>
      </w:r>
      <w:r w:rsidRPr="006E6DFF">
        <w:rPr>
          <w:rFonts w:ascii="Century Gothic" w:hAnsi="Century Gothic"/>
        </w:rPr>
        <w:t xml:space="preserve"> – Temps plein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7B219C16" w14:textId="4DF86906" w:rsidR="00BD0B27" w:rsidRPr="00BD0B27" w:rsidRDefault="008E76AF" w:rsidP="00BD0B27">
      <w:pPr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Rejoignez l’Institut d’Optique Graduate School (IOGS),</w:t>
      </w:r>
      <w:r w:rsidR="00BD0B27" w:rsidRPr="00BD0B27">
        <w:rPr>
          <w:rFonts w:ascii="Century Gothic" w:hAnsi="Century Gothic"/>
        </w:rPr>
        <w:t xml:space="preserve"> un acteur de référence</w:t>
      </w:r>
    </w:p>
    <w:p w14:paraId="536DEC0E" w14:textId="77777777" w:rsidR="00BD0B27" w:rsidRPr="00BD0B27" w:rsidRDefault="00BD0B27" w:rsidP="00BD0B27">
      <w:pPr>
        <w:rPr>
          <w:rFonts w:ascii="Century Gothic" w:hAnsi="Century Gothic"/>
        </w:rPr>
      </w:pPr>
      <w:r w:rsidRPr="00BD0B27">
        <w:rPr>
          <w:rFonts w:ascii="Century Gothic" w:hAnsi="Century Gothic"/>
        </w:rPr>
        <w:t>dans l’enseignement supérieur, la recherche et l’innovation en optique, photonique et</w:t>
      </w:r>
    </w:p>
    <w:p w14:paraId="3B05BCDD" w14:textId="77777777" w:rsidR="00BD0B27" w:rsidRPr="00BD0B27" w:rsidRDefault="00BD0B27" w:rsidP="00BD0B27">
      <w:pPr>
        <w:rPr>
          <w:rFonts w:ascii="Century Gothic" w:hAnsi="Century Gothic"/>
        </w:rPr>
      </w:pPr>
      <w:r w:rsidRPr="00BD0B27">
        <w:rPr>
          <w:rFonts w:ascii="Century Gothic" w:hAnsi="Century Gothic"/>
        </w:rPr>
        <w:t>technologies quantiques. L’institut forme chaque année plus de 150 ingénieur·es sur ses</w:t>
      </w:r>
    </w:p>
    <w:p w14:paraId="26A5EEAC" w14:textId="662B33B6" w:rsidR="001603BE" w:rsidRDefault="00BD0B27" w:rsidP="00BD0B27">
      <w:pPr>
        <w:rPr>
          <w:rFonts w:ascii="Century Gothic" w:hAnsi="Century Gothic"/>
        </w:rPr>
      </w:pPr>
      <w:r w:rsidRPr="00BD0B27">
        <w:rPr>
          <w:rFonts w:ascii="Century Gothic" w:hAnsi="Century Gothic"/>
        </w:rPr>
        <w:t>trois campus : Palaiseau, Bordeaux et Saint-Etienne.</w:t>
      </w:r>
    </w:p>
    <w:p w14:paraId="22F51E3C" w14:textId="77777777" w:rsidR="00BD0B27" w:rsidRDefault="00BD0B27" w:rsidP="00BD0B27">
      <w:pPr>
        <w:rPr>
          <w:rFonts w:ascii="Century Gothic" w:hAnsi="Century Gothic"/>
          <w:b/>
          <w:bCs/>
        </w:rPr>
      </w:pPr>
    </w:p>
    <w:p w14:paraId="7A60A0B8" w14:textId="3FD65928" w:rsidR="00326247" w:rsidRPr="0052251C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14913DD4" w14:textId="0D5AD009" w:rsidR="00BD0B27" w:rsidRDefault="0052251C" w:rsidP="00BD0B27">
      <w:pPr>
        <w:rPr>
          <w:rFonts w:ascii="Century Gothic" w:hAnsi="Century Gothic"/>
        </w:rPr>
      </w:pPr>
      <w:r w:rsidRPr="0052251C">
        <w:rPr>
          <w:rFonts w:ascii="Century Gothic" w:hAnsi="Century Gothic"/>
        </w:rPr>
        <w:t>Sous la responsabilité de la Responsable Administrative Enseignement et Vie Étudiante (RAEVE), vous accompagnez les étudiantes et étudiants dans leur intégration et participez activement à l'amélioration de leurs conditions de vie et d’étude. À ce titre, vous jouez un rôle central dans l’accompagnement individualisé, la coordination avec les services internes, ainsi que la mise en œuvre des dispositifs d’inclusion.</w:t>
      </w:r>
    </w:p>
    <w:p w14:paraId="3CEBFCEE" w14:textId="77777777" w:rsidR="0052251C" w:rsidRDefault="0052251C" w:rsidP="00BD0B27">
      <w:pPr>
        <w:rPr>
          <w:rFonts w:ascii="Century Gothic" w:hAnsi="Century Gothic"/>
        </w:rPr>
      </w:pPr>
    </w:p>
    <w:p w14:paraId="311FBED0" w14:textId="483E2EAB" w:rsidR="00423A44" w:rsidRPr="008E76AF" w:rsidRDefault="00423A44" w:rsidP="00BD0B2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30E53C77" w:rsidR="00F04E08" w:rsidRPr="00F04E08" w:rsidRDefault="00BD0B27" w:rsidP="00F04E08">
      <w:pPr>
        <w:rPr>
          <w:rFonts w:ascii="Century Gothic" w:hAnsi="Century Gothic"/>
          <w:b/>
          <w:bCs/>
          <w:color w:val="000000" w:themeColor="text1"/>
        </w:rPr>
      </w:pPr>
      <w:r w:rsidRPr="00BD0B27">
        <w:rPr>
          <w:rFonts w:ascii="Century Gothic" w:hAnsi="Century Gothic"/>
          <w:b/>
          <w:bCs/>
          <w:color w:val="000000" w:themeColor="text1"/>
        </w:rPr>
        <w:t>Aide au recrutement et à la promotion de l’école</w:t>
      </w:r>
      <w:r w:rsidR="00326247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1E225274" w14:textId="173BC86B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Contribuer à l'organisation des événements de promotion de l’école auprès des futurs candidates et candidats (forum des classes prépa, journées portes ouvertes, salons, promotion de l’école à l’occasion des concours etc.)</w:t>
      </w:r>
      <w:r w:rsidR="00EA13F6">
        <w:rPr>
          <w:rFonts w:ascii="Century Gothic" w:hAnsi="Century Gothic"/>
          <w:color w:val="000000" w:themeColor="text1"/>
        </w:rPr>
        <w:t>,</w:t>
      </w:r>
    </w:p>
    <w:p w14:paraId="25C1FF2A" w14:textId="5016327F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Participer aux actions de communication destinées aux nouvelles et nouveaux étudiant·e·s</w:t>
      </w:r>
      <w:r w:rsidR="00EA13F6">
        <w:rPr>
          <w:rFonts w:ascii="Century Gothic" w:hAnsi="Century Gothic"/>
          <w:color w:val="000000" w:themeColor="text1"/>
        </w:rPr>
        <w:t>,</w:t>
      </w:r>
    </w:p>
    <w:p w14:paraId="1E66ABA0" w14:textId="77777777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Apporter un soutien dans la réponse aux enquêtes et à la collecte de données sur les étudiantes et étudiants.</w:t>
      </w:r>
    </w:p>
    <w:p w14:paraId="1348EC52" w14:textId="77777777" w:rsidR="00BD0B27" w:rsidRDefault="00BD0B27" w:rsidP="00BD0B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BD0B27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Accompagnement des étudiantes et étudiants en situation de handicap ou rencontrant des difficultés spécifiques</w:t>
      </w:r>
    </w:p>
    <w:p w14:paraId="71715146" w14:textId="4669E620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Être l’interlocuteur ou l’interlocutrice principal·e des étudiantes et étudiants en situation de handicap, ou rencontrant des difficultés médicales, psychologiques ou sociales affectant leur scolarité</w:t>
      </w:r>
      <w:r w:rsidR="00EA13F6">
        <w:rPr>
          <w:rFonts w:ascii="Century Gothic" w:hAnsi="Century Gothic"/>
          <w:color w:val="000000" w:themeColor="text1"/>
        </w:rPr>
        <w:t>,</w:t>
      </w:r>
    </w:p>
    <w:p w14:paraId="2347D79A" w14:textId="228B9BCC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Garantir la disponibilité des informations sur l’accueil des personnes en situation de handicap en amont de leur recrutement (site web, documents d’information, etc.)</w:t>
      </w:r>
      <w:r w:rsidR="00EA13F6">
        <w:rPr>
          <w:rFonts w:ascii="Century Gothic" w:hAnsi="Century Gothic"/>
          <w:color w:val="000000" w:themeColor="text1"/>
        </w:rPr>
        <w:t>,</w:t>
      </w:r>
    </w:p>
    <w:p w14:paraId="1626FB73" w14:textId="77777777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Proposer des aménagements adaptés au déroulement de la scolarité :</w:t>
      </w:r>
    </w:p>
    <w:p w14:paraId="70892FB5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Collaborer avec la direction des études et les enseignantes et enseignants pour identifier les besoins spécifiques.</w:t>
      </w:r>
    </w:p>
    <w:p w14:paraId="59F83727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Mettre en place des solutions facilitant l’intégration et la réussite académique des étudiantes et étudiants, notamment pour les examens.</w:t>
      </w:r>
    </w:p>
    <w:p w14:paraId="2268AB83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Assurer le suivi des aménagements et évaluer leur efficacité.</w:t>
      </w:r>
    </w:p>
    <w:p w14:paraId="4CE0D050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6CFBDBF9" w14:textId="77777777" w:rsidR="00BD0B27" w:rsidRDefault="00BD0B27" w:rsidP="00BD0B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BD0B27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Soutien à la vie associative</w:t>
      </w:r>
    </w:p>
    <w:p w14:paraId="71F85ED5" w14:textId="419A1150" w:rsidR="00BD0B27" w:rsidRPr="00BD0B27" w:rsidRDefault="00BD0B27" w:rsidP="00BD0B27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lastRenderedPageBreak/>
        <w:t>Servir d’intermédiaire entre les associations étudiantes et la direction de l’IOGS</w:t>
      </w:r>
      <w:r w:rsidR="00EA13F6">
        <w:rPr>
          <w:rFonts w:ascii="Century Gothic" w:hAnsi="Century Gothic"/>
          <w:color w:val="000000" w:themeColor="text1"/>
        </w:rPr>
        <w:t>,</w:t>
      </w:r>
    </w:p>
    <w:p w14:paraId="605AF495" w14:textId="113B9514" w:rsidR="00BD0B27" w:rsidRPr="00BD0B27" w:rsidRDefault="00BD0B27" w:rsidP="00BD0B27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Accompagner les associations dans l’organisation des évènements, la rédaction de leurs statuts et la gestion de leur budget</w:t>
      </w:r>
      <w:r w:rsidR="00EA13F6">
        <w:rPr>
          <w:rFonts w:ascii="Century Gothic" w:hAnsi="Century Gothic"/>
          <w:color w:val="000000" w:themeColor="text1"/>
        </w:rPr>
        <w:t>,</w:t>
      </w:r>
    </w:p>
    <w:p w14:paraId="610BFFED" w14:textId="35D2D47E" w:rsidR="00461027" w:rsidRPr="00BD0B27" w:rsidRDefault="00BD0B27" w:rsidP="00B971D6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Participer à l’évaluation de l’UE vie associative</w:t>
      </w:r>
      <w:r w:rsidR="00EA13F6">
        <w:rPr>
          <w:rFonts w:ascii="Century Gothic" w:hAnsi="Century Gothic"/>
          <w:color w:val="000000" w:themeColor="text1"/>
        </w:rPr>
        <w:t>.</w:t>
      </w:r>
    </w:p>
    <w:p w14:paraId="30D8BF8D" w14:textId="7BDC5F37" w:rsidR="00B971D6" w:rsidRDefault="00423A44" w:rsidP="00B971D6">
      <w:pPr>
        <w:rPr>
          <w:rFonts w:ascii="Century Gothic" w:hAnsi="Century Gothic"/>
          <w:i/>
          <w:iCs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</w:p>
    <w:p w14:paraId="5086A7E0" w14:textId="77777777" w:rsidR="00BD0B27" w:rsidRPr="00461027" w:rsidRDefault="00BD0B27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091B9C4A" w14:textId="6FA93CD3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Solide expérience dans l’accompagnement des étudiantes et étudiants, ainsi que dans la gestion de projets en milieu éducatif, démontrant une bonne connaissance des enjeux pédagogiques et organisationnels de l’enseignement supérieur.</w:t>
      </w:r>
    </w:p>
    <w:p w14:paraId="03477876" w14:textId="3CBB5E4C" w:rsid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Connaissance approfondie des dispositifs liés à l’inclusion et au handicap dans l’enseignement supérieur, acquise par la pratique professionnelle ou par une formation spécialisée dans ce domaine.</w:t>
      </w:r>
    </w:p>
    <w:p w14:paraId="64402EC5" w14:textId="77777777" w:rsidR="00BD0B27" w:rsidRPr="00BD0B27" w:rsidRDefault="00BD0B27" w:rsidP="00BD0B27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063B89EB" w14:textId="5ED8D361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Maîtrise des dispositifs et outils relatifs à l’accompagnement des publics en situation de handicap, en lien avec la législation et les politiques d’inclusion.</w:t>
      </w:r>
    </w:p>
    <w:p w14:paraId="3526B910" w14:textId="693AD093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Capacité à travailler en coordination avec les services administratifs et pédagogiques pour assurer une prise en charge efficace des besoins spécifiques.</w:t>
      </w:r>
    </w:p>
    <w:p w14:paraId="29967999" w14:textId="367D2DBF" w:rsid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Compétences organisationnelles avérées permettant une gestion rigoureuse et autonome des dossiers et projets.</w:t>
      </w:r>
    </w:p>
    <w:p w14:paraId="31F17A8B" w14:textId="77777777" w:rsidR="00BD0B27" w:rsidRPr="00BD0B27" w:rsidRDefault="00BD0B27" w:rsidP="00BD0B27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45FEB1" w14:textId="5FF68C83" w:rsidR="00B971D6" w:rsidRPr="00326247" w:rsidRDefault="00B971D6" w:rsidP="00326247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326247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2A2DE4D2" w14:textId="5C2E5B6B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Sens de l’écoute développé et aptitude à dialoguer avec des interlocutrices et interlocuteurs variés (étudiantes, étudiants, enseignants, personnel administratif, partenaires extérieurs).</w:t>
      </w:r>
    </w:p>
    <w:p w14:paraId="3DB013B2" w14:textId="40987FA0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Esprit d’équipe et capacité à collaborer efficacement dans un environnement pluridisciplinaire.</w:t>
      </w:r>
    </w:p>
    <w:p w14:paraId="26F0717A" w14:textId="718A81DA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Rigueur, autonomie et sens des responsabilités dans la conduite des missions confiées.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A4BE97D" w14:textId="77777777" w:rsidR="005737B6" w:rsidRPr="008E76AF" w:rsidRDefault="006E6DFF" w:rsidP="008E76AF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Ce que nous offrons</w:t>
      </w:r>
    </w:p>
    <w:p w14:paraId="4D49561F" w14:textId="77777777" w:rsidR="005737B6" w:rsidRPr="008C1189" w:rsidRDefault="005737B6">
      <w:pPr>
        <w:pStyle w:val="Corpsdetexte"/>
        <w:spacing w:before="15"/>
        <w:ind w:firstLine="0"/>
        <w:rPr>
          <w:rFonts w:ascii="Century Gothic" w:hAnsi="Century Gothic"/>
          <w:b/>
        </w:rPr>
      </w:pPr>
    </w:p>
    <w:p w14:paraId="3F50FDC3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 environnement de travail stimulant et bienveillant</w:t>
      </w:r>
    </w:p>
    <w:p w14:paraId="40987FA0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Une équipe conviviale, engagée et collaborative</w:t>
      </w:r>
    </w:p>
    <w:p w14:paraId="4A08542B" w14:textId="08389FC8" w:rsidR="005737B6" w:rsidRPr="008E76AF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 xml:space="preserve">Niveau de rémunération selon formation et expérience entre </w:t>
      </w:r>
      <w:r w:rsidR="0052251C">
        <w:rPr>
          <w:rFonts w:ascii="Century Gothic" w:hAnsi="Century Gothic"/>
        </w:rPr>
        <w:t>32 - 34</w:t>
      </w:r>
      <w:r w:rsidR="00866AA3" w:rsidRPr="00866AA3">
        <w:rPr>
          <w:rFonts w:ascii="Century Gothic" w:hAnsi="Century Gothic"/>
        </w:rPr>
        <w:t xml:space="preserve"> </w:t>
      </w:r>
      <w:r w:rsidRPr="00866AA3">
        <w:rPr>
          <w:rFonts w:ascii="Century Gothic" w:hAnsi="Century Gothic"/>
        </w:rPr>
        <w:t>K</w:t>
      </w:r>
      <w:r w:rsidR="00461027" w:rsidRPr="00866AA3">
        <w:rPr>
          <w:rFonts w:ascii="Century Gothic" w:hAnsi="Century Gothic"/>
        </w:rPr>
        <w:t>€</w:t>
      </w:r>
      <w:r w:rsidRPr="00866AA3">
        <w:rPr>
          <w:rFonts w:ascii="Century Gothic" w:hAnsi="Century Gothic"/>
        </w:rPr>
        <w:t>/an</w:t>
      </w:r>
    </w:p>
    <w:p w14:paraId="3C91E26B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Indemnité repas de 3,80 € pour repas pris sur site</w:t>
      </w:r>
    </w:p>
    <w:p w14:paraId="43A7F2D2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Choix possible horaires de travail</w:t>
      </w:r>
    </w:p>
    <w:p w14:paraId="1D1B34DD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C1189">
        <w:rPr>
          <w:rFonts w:ascii="Century Gothic" w:hAnsi="Century Gothic"/>
        </w:rPr>
        <w:t>Choix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la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quotité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hebdomadaire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travail</w:t>
      </w:r>
    </w:p>
    <w:p w14:paraId="37C7BC35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2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CP + JRTT</w:t>
      </w:r>
    </w:p>
    <w:p w14:paraId="048C0065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7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Télétravail possible 2 jours par semaine après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D1CD0"/>
    <w:multiLevelType w:val="multilevel"/>
    <w:tmpl w:val="3A8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C085B"/>
    <w:multiLevelType w:val="multilevel"/>
    <w:tmpl w:val="5320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45D44B9"/>
    <w:multiLevelType w:val="multilevel"/>
    <w:tmpl w:val="7D7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4"/>
  </w:num>
  <w:num w:numId="2" w16cid:durableId="929895920">
    <w:abstractNumId w:val="8"/>
  </w:num>
  <w:num w:numId="3" w16cid:durableId="1212814597">
    <w:abstractNumId w:val="9"/>
  </w:num>
  <w:num w:numId="4" w16cid:durableId="375198470">
    <w:abstractNumId w:val="0"/>
  </w:num>
  <w:num w:numId="5" w16cid:durableId="2136867152">
    <w:abstractNumId w:val="7"/>
  </w:num>
  <w:num w:numId="6" w16cid:durableId="1839154852">
    <w:abstractNumId w:val="1"/>
  </w:num>
  <w:num w:numId="7" w16cid:durableId="207423307">
    <w:abstractNumId w:val="6"/>
  </w:num>
  <w:num w:numId="8" w16cid:durableId="1833331741">
    <w:abstractNumId w:val="10"/>
  </w:num>
  <w:num w:numId="9" w16cid:durableId="731925412">
    <w:abstractNumId w:val="2"/>
  </w:num>
  <w:num w:numId="10" w16cid:durableId="1336348490">
    <w:abstractNumId w:val="5"/>
  </w:num>
  <w:num w:numId="11" w16cid:durableId="1865438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326247"/>
    <w:rsid w:val="00423A44"/>
    <w:rsid w:val="00461027"/>
    <w:rsid w:val="0052251C"/>
    <w:rsid w:val="005737B6"/>
    <w:rsid w:val="006E6DFF"/>
    <w:rsid w:val="00775A44"/>
    <w:rsid w:val="00866AA3"/>
    <w:rsid w:val="008C1189"/>
    <w:rsid w:val="008E76AF"/>
    <w:rsid w:val="00B971D6"/>
    <w:rsid w:val="00BD0B27"/>
    <w:rsid w:val="00EA13F6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3</cp:revision>
  <cp:lastPrinted>2025-08-21T14:29:00Z</cp:lastPrinted>
  <dcterms:created xsi:type="dcterms:W3CDTF">2025-09-10T11:54:00Z</dcterms:created>
  <dcterms:modified xsi:type="dcterms:W3CDTF">2025-09-10T11:57:00Z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